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5079E4BD"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w:t>
      </w:r>
      <w:r w:rsidR="005A1365">
        <w:rPr>
          <w:rFonts w:eastAsia="ＭＳ ゴシック" w:hint="eastAsia"/>
          <w:sz w:val="22"/>
          <w:szCs w:val="22"/>
        </w:rPr>
        <w:t>６</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69674268"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F83DFC">
        <w:rPr>
          <w:rFonts w:ascii="ＭＳ ゴシック" w:eastAsia="ＭＳ ゴシック" w:hAnsi="ＭＳ ゴシック" w:cs="ＭＳ ゴシック" w:hint="eastAsia"/>
          <w:kern w:val="0"/>
          <w:sz w:val="22"/>
          <w:szCs w:val="22"/>
          <w:u w:val="single"/>
        </w:rPr>
        <w:t>スパーク放電発光分析装置</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5E9C"/>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599"/>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3DFC"/>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1928</Words>
  <Characters>170</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5</cp:revision>
  <cp:lastPrinted>2011-10-27T11:03:00Z</cp:lastPrinted>
  <dcterms:created xsi:type="dcterms:W3CDTF">2024-05-15T04:54:00Z</dcterms:created>
  <dcterms:modified xsi:type="dcterms:W3CDTF">2025-05-16T02:05:00Z</dcterms:modified>
</cp:coreProperties>
</file>